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34" w:rsidRPr="00161534" w:rsidRDefault="00161534" w:rsidP="00161534">
      <w:pPr>
        <w:spacing w:after="0" w:line="240" w:lineRule="auto"/>
        <w:jc w:val="right"/>
        <w:rPr>
          <w:rFonts w:ascii="Verdana" w:eastAsia="Calibri" w:hAnsi="Verdana"/>
          <w:sz w:val="16"/>
          <w:szCs w:val="16"/>
          <w:lang w:eastAsia="en-US"/>
        </w:rPr>
      </w:pPr>
      <w:r w:rsidRPr="00161534">
        <w:rPr>
          <w:rFonts w:ascii="Verdana" w:eastAsia="Calibri" w:hAnsi="Verdana"/>
          <w:sz w:val="16"/>
          <w:szCs w:val="16"/>
          <w:lang w:eastAsia="en-US"/>
        </w:rPr>
        <w:t>Kielce, dnia 201</w:t>
      </w:r>
      <w:r w:rsidR="006F2B75">
        <w:rPr>
          <w:rFonts w:ascii="Verdana" w:eastAsia="Calibri" w:hAnsi="Verdana"/>
          <w:sz w:val="16"/>
          <w:szCs w:val="16"/>
          <w:lang w:eastAsia="en-US"/>
        </w:rPr>
        <w:t>9</w:t>
      </w:r>
      <w:r w:rsidRPr="00161534">
        <w:rPr>
          <w:rFonts w:ascii="Verdana" w:eastAsia="Calibri" w:hAnsi="Verdana"/>
          <w:sz w:val="16"/>
          <w:szCs w:val="16"/>
          <w:lang w:eastAsia="en-US"/>
        </w:rPr>
        <w:t>-</w:t>
      </w:r>
      <w:r w:rsidR="00A03E00">
        <w:rPr>
          <w:rFonts w:ascii="Verdana" w:eastAsia="Calibri" w:hAnsi="Verdana"/>
          <w:sz w:val="16"/>
          <w:szCs w:val="16"/>
          <w:lang w:eastAsia="en-US"/>
        </w:rPr>
        <w:t>02</w:t>
      </w:r>
      <w:r w:rsidRPr="00161534">
        <w:rPr>
          <w:rFonts w:ascii="Verdana" w:eastAsia="Calibri" w:hAnsi="Verdana"/>
          <w:sz w:val="16"/>
          <w:szCs w:val="16"/>
          <w:lang w:eastAsia="en-US"/>
        </w:rPr>
        <w:t>-</w:t>
      </w:r>
      <w:r w:rsidR="006F2B75">
        <w:rPr>
          <w:rFonts w:ascii="Verdana" w:eastAsia="Calibri" w:hAnsi="Verdana"/>
          <w:sz w:val="16"/>
          <w:szCs w:val="16"/>
          <w:lang w:eastAsia="en-US"/>
        </w:rPr>
        <w:t>2</w:t>
      </w:r>
      <w:r w:rsidR="00E14A62">
        <w:rPr>
          <w:rFonts w:ascii="Verdana" w:eastAsia="Calibri" w:hAnsi="Verdana"/>
          <w:sz w:val="16"/>
          <w:szCs w:val="16"/>
          <w:lang w:eastAsia="en-US"/>
        </w:rPr>
        <w:t>8</w:t>
      </w:r>
    </w:p>
    <w:p w:rsidR="00161534" w:rsidRPr="00161534" w:rsidRDefault="00A03E00" w:rsidP="00161534">
      <w:pPr>
        <w:spacing w:after="0" w:line="240" w:lineRule="auto"/>
        <w:jc w:val="center"/>
        <w:rPr>
          <w:rFonts w:ascii="Verdana" w:eastAsia="Calibri" w:hAnsi="Verdana"/>
          <w:b/>
          <w:sz w:val="24"/>
          <w:lang w:eastAsia="en-US"/>
        </w:rPr>
      </w:pPr>
      <w:r>
        <w:rPr>
          <w:rFonts w:ascii="Verdana" w:eastAsia="Calibri" w:hAnsi="Verdana"/>
          <w:b/>
          <w:sz w:val="24"/>
          <w:lang w:eastAsia="en-US"/>
        </w:rPr>
        <w:t xml:space="preserve">INORMACJA NR 1 </w:t>
      </w:r>
    </w:p>
    <w:p w:rsidR="00161534" w:rsidRPr="00161534" w:rsidRDefault="00A03E00" w:rsidP="00161534">
      <w:pPr>
        <w:spacing w:after="120" w:line="240" w:lineRule="auto"/>
        <w:jc w:val="center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Do postępowania pn.</w:t>
      </w:r>
    </w:p>
    <w:p w:rsidR="006F2B75" w:rsidRDefault="00821131" w:rsidP="006F2B75">
      <w:pPr>
        <w:jc w:val="center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</w:rPr>
        <w:t>Zakup nowoczesnych technologii do nauki przedsiębiorczości i logistyki</w:t>
      </w:r>
      <w:r w:rsidR="003F4354">
        <w:rPr>
          <w:rFonts w:eastAsia="Calibri"/>
          <w:b/>
        </w:rPr>
        <w:t xml:space="preserve"> wraz z przeszkoleniem personelu </w:t>
      </w:r>
      <w:r>
        <w:rPr>
          <w:rFonts w:eastAsia="Calibri"/>
          <w:b/>
        </w:rPr>
        <w:t xml:space="preserve"> oraz </w:t>
      </w:r>
      <w:r w:rsidR="003F4354">
        <w:rPr>
          <w:rFonts w:eastAsia="Calibri"/>
          <w:b/>
        </w:rPr>
        <w:t xml:space="preserve">dostawa </w:t>
      </w:r>
      <w:r>
        <w:rPr>
          <w:rFonts w:eastAsia="Calibri"/>
          <w:b/>
        </w:rPr>
        <w:t>sprzętu multimedialnego i IT</w:t>
      </w:r>
      <w:r w:rsidR="00161534" w:rsidRPr="00161534">
        <w:rPr>
          <w:rFonts w:ascii="Verdana" w:hAnsi="Verdana"/>
          <w:b/>
          <w:smallCaps/>
          <w:color w:val="000000"/>
          <w:sz w:val="16"/>
          <w:szCs w:val="16"/>
        </w:rPr>
        <w:t xml:space="preserve"> </w:t>
      </w:r>
      <w:r w:rsidR="006F2B75" w:rsidRPr="00A36ADF">
        <w:rPr>
          <w:rFonts w:cs="Calibri"/>
          <w:bCs/>
          <w:color w:val="000000"/>
          <w:sz w:val="24"/>
          <w:szCs w:val="24"/>
        </w:rPr>
        <w:t>„</w:t>
      </w:r>
      <w:r w:rsidR="006F2B75" w:rsidRPr="00A36ADF">
        <w:rPr>
          <w:rFonts w:cs="Calibri"/>
          <w:color w:val="000000"/>
          <w:sz w:val="24"/>
          <w:szCs w:val="24"/>
        </w:rPr>
        <w:t xml:space="preserve">SMART LOGISTYK - nowoczesne technologie w szkołach ZDZ w Starachowicach </w:t>
      </w:r>
      <w:r w:rsidR="006F2B75" w:rsidRPr="00A36ADF">
        <w:rPr>
          <w:rFonts w:cs="Calibri"/>
          <w:color w:val="000000"/>
          <w:sz w:val="24"/>
          <w:szCs w:val="24"/>
        </w:rPr>
        <w:br/>
        <w:t xml:space="preserve">i Ostrowcu Świętokrzyskim” realizowanego jest przez dwie szkoły Zakładu Doskonalenia Zawodowego w Kielcach (zwanym dalej „ZDZ”) z terenu woj. świętokrzyskiego na podstawie umowy o dofinansowanie realizacji Projektu w ramach Regionalnego Programu Operacyjnego Województwa Świętokrzyskiego, Priorytet 8. </w:t>
      </w:r>
      <w:r w:rsidR="006F2B75" w:rsidRPr="00A36ADF">
        <w:rPr>
          <w:rFonts w:cs="Calibri"/>
          <w:i/>
          <w:color w:val="000000"/>
          <w:sz w:val="24"/>
          <w:szCs w:val="24"/>
        </w:rPr>
        <w:t>Rozwój edukacji i aktywne społeczeństwo</w:t>
      </w:r>
      <w:r w:rsidR="006F2B75" w:rsidRPr="00A36ADF">
        <w:rPr>
          <w:rFonts w:cs="Calibri"/>
          <w:color w:val="000000"/>
          <w:sz w:val="24"/>
          <w:szCs w:val="24"/>
        </w:rPr>
        <w:t xml:space="preserve">, Działanie 8.5 </w:t>
      </w:r>
      <w:r w:rsidR="006F2B75" w:rsidRPr="00A36ADF">
        <w:rPr>
          <w:rFonts w:cs="Calibri"/>
          <w:i/>
          <w:color w:val="000000"/>
          <w:sz w:val="24"/>
          <w:szCs w:val="24"/>
        </w:rPr>
        <w:t>Rozwój i wysoka jakość szkolnictwa zawodowego i kształcenia ustawicznego</w:t>
      </w:r>
      <w:r w:rsidR="006F2B75" w:rsidRPr="00A36ADF">
        <w:rPr>
          <w:rFonts w:cs="Calibri"/>
          <w:color w:val="000000"/>
          <w:sz w:val="24"/>
          <w:szCs w:val="24"/>
        </w:rPr>
        <w:t xml:space="preserve">, Poddziałanie 8.5.1 </w:t>
      </w:r>
      <w:r w:rsidR="006F2B75" w:rsidRPr="00A36ADF">
        <w:rPr>
          <w:rFonts w:cs="Calibri"/>
          <w:i/>
          <w:color w:val="000000"/>
          <w:sz w:val="24"/>
          <w:szCs w:val="24"/>
        </w:rPr>
        <w:t xml:space="preserve">Podniesienie jakości kształcenia zawodowego oraz wsparcie na rzecz tworzenia i rozwoju </w:t>
      </w:r>
      <w:proofErr w:type="spellStart"/>
      <w:r w:rsidR="006F2B75" w:rsidRPr="00A36ADF">
        <w:rPr>
          <w:rFonts w:cs="Calibri"/>
          <w:i/>
          <w:color w:val="000000"/>
          <w:sz w:val="24"/>
          <w:szCs w:val="24"/>
        </w:rPr>
        <w:t>CKZiU</w:t>
      </w:r>
      <w:proofErr w:type="spellEnd"/>
      <w:r w:rsidR="006F2B75" w:rsidRPr="00A36ADF">
        <w:rPr>
          <w:rFonts w:cs="Calibri"/>
          <w:i/>
          <w:color w:val="000000"/>
          <w:sz w:val="24"/>
          <w:szCs w:val="24"/>
        </w:rPr>
        <w:t xml:space="preserve"> (projekty konkursowe)</w:t>
      </w:r>
      <w:r w:rsidR="006F2B75" w:rsidRPr="00A36ADF">
        <w:rPr>
          <w:rFonts w:cs="Calibri"/>
          <w:color w:val="000000"/>
          <w:sz w:val="24"/>
          <w:szCs w:val="24"/>
        </w:rPr>
        <w:t xml:space="preserve">, numer naboru </w:t>
      </w:r>
      <w:r w:rsidR="006F2B75" w:rsidRPr="00A36ADF">
        <w:rPr>
          <w:rFonts w:cs="Calibri"/>
          <w:b/>
          <w:color w:val="000000"/>
          <w:sz w:val="24"/>
          <w:szCs w:val="24"/>
        </w:rPr>
        <w:t>RPSW.08.05.01-IZ.00-26-178/18</w:t>
      </w:r>
      <w:r w:rsidR="006F2B75" w:rsidRPr="00A36ADF">
        <w:rPr>
          <w:rFonts w:cs="Calibri"/>
          <w:color w:val="000000"/>
          <w:sz w:val="24"/>
          <w:szCs w:val="24"/>
        </w:rPr>
        <w:t xml:space="preserve"> współfinansowanego ze środków Unii Europejskiej </w:t>
      </w:r>
      <w:r w:rsidR="006F2B75" w:rsidRPr="00A36ADF">
        <w:rPr>
          <w:rFonts w:cs="Calibri"/>
          <w:color w:val="000000"/>
          <w:sz w:val="24"/>
          <w:szCs w:val="24"/>
        </w:rPr>
        <w:br/>
        <w:t>w ramach Europejskiego Funduszu Społecznego.</w:t>
      </w:r>
    </w:p>
    <w:p w:rsidR="00E14A62" w:rsidRDefault="00E14A62" w:rsidP="00E14A62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Zamawiający udziela odpowiedzi na pytania wykonawców:</w:t>
      </w:r>
    </w:p>
    <w:p w:rsidR="00E14A62" w:rsidRDefault="00E14A62" w:rsidP="00E14A62">
      <w:pPr>
        <w:rPr>
          <w:rFonts w:cs="Calibri"/>
          <w:color w:val="000000"/>
          <w:sz w:val="24"/>
          <w:szCs w:val="24"/>
        </w:rPr>
      </w:pPr>
      <w:r w:rsidRPr="00E14A62">
        <w:rPr>
          <w:rFonts w:cs="Calibri"/>
          <w:color w:val="000000"/>
          <w:sz w:val="24"/>
          <w:szCs w:val="24"/>
          <w:highlight w:val="yellow"/>
        </w:rPr>
        <w:t>Pytanie nr 1:</w:t>
      </w:r>
    </w:p>
    <w:p w:rsidR="00E14A62" w:rsidRDefault="00E14A62" w:rsidP="00E14A62">
      <w:pPr>
        <w:rPr>
          <w:rFonts w:cs="Calibri"/>
          <w:color w:val="000000"/>
          <w:sz w:val="24"/>
          <w:szCs w:val="24"/>
        </w:rPr>
      </w:pPr>
      <w:r w:rsidRPr="00E14A62">
        <w:rPr>
          <w:rFonts w:cs="Calibri"/>
          <w:color w:val="000000"/>
          <w:sz w:val="24"/>
          <w:szCs w:val="24"/>
        </w:rPr>
        <w:t>Zamawiający wymaga dostawy skanera bezprzewodowego jednocześnie zamieszczając w opisie maksymalna długość przewodu</w:t>
      </w:r>
    </w:p>
    <w:p w:rsidR="00E14A62" w:rsidRDefault="00E14A62" w:rsidP="00E14A62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Odpowiedz:</w:t>
      </w:r>
    </w:p>
    <w:p w:rsidR="00E14A62" w:rsidRDefault="00E14A62" w:rsidP="00E14A62">
      <w:r w:rsidRPr="00E14A62">
        <w:t>Zamawiaczy wymaga skanera bezprzewodowego który w zestawie będzie posiadał przewód umożlwiający ładowanie urządzenia  oraz umożliwi  podpięcie urządzenia do komputera za pomoc przewodu lub  systemów nie wspierających transmisji bezprzewodowej.</w:t>
      </w:r>
    </w:p>
    <w:p w:rsidR="00E14A62" w:rsidRDefault="00E14A62" w:rsidP="00E14A62">
      <w:r w:rsidRPr="00E14A62">
        <w:rPr>
          <w:highlight w:val="yellow"/>
        </w:rPr>
        <w:t>Pytanie nr 2:</w:t>
      </w:r>
    </w:p>
    <w:p w:rsidR="00E14A62" w:rsidRDefault="00E14A62" w:rsidP="00E14A62">
      <w:r>
        <w:t>Zamawiający wymaga certyfikatu EPEAT dla Polski – czy zamawiający dopuści certyfikat międzynarodowy?</w:t>
      </w:r>
    </w:p>
    <w:p w:rsidR="00E14A62" w:rsidRDefault="00E14A62" w:rsidP="00E14A62">
      <w:r>
        <w:t>Odpowiedz:</w:t>
      </w:r>
    </w:p>
    <w:p w:rsidR="00E14A62" w:rsidRDefault="00E14A62" w:rsidP="00E14A62">
      <w:r>
        <w:t xml:space="preserve">                Zamawiający dopuszcza zastosowanie rozwiązań o standardzie światowym, a nie tylko europejskim. Jednocześnie nadmieniamy że certyfikat EPEAT na poziomie Gold dla rynku polskiego posiada około 150 komputerów różnych producentów.</w:t>
      </w:r>
    </w:p>
    <w:p w:rsidR="00E14A62" w:rsidRDefault="00E14A62" w:rsidP="00E14A62">
      <w:r w:rsidRPr="00E14A62">
        <w:rPr>
          <w:highlight w:val="yellow"/>
        </w:rPr>
        <w:t>Pytanie nr 3:</w:t>
      </w:r>
    </w:p>
    <w:p w:rsidR="00E14A62" w:rsidRDefault="00E14A62" w:rsidP="00E14A62">
      <w:r>
        <w:t xml:space="preserve">Zamawiający wymaga matrycy typu SVA – jest to rzadko stosowana matryca, zawężająca liczbę potencjalnych producentów, wykluczająca pewne marki. Biorąc pod uwagę, ze zamawiający opisał wymagania odnośnie matrycy takie jak minimalna </w:t>
      </w:r>
      <w:r>
        <w:t>jasność</w:t>
      </w:r>
      <w:r>
        <w:t xml:space="preserve"> i kontrast zwracamy się o usunięcie wymogu zastosowania matrycy SVA i dopuszczenie innych typów, przy zachowaniu wymaganych minimalnych parametrów</w:t>
      </w:r>
    </w:p>
    <w:p w:rsidR="00E14A62" w:rsidRDefault="00E14A62" w:rsidP="00E14A62">
      <w:r>
        <w:t>Odpowiedz:</w:t>
      </w:r>
    </w:p>
    <w:p w:rsidR="00E14A62" w:rsidRDefault="00E14A62" w:rsidP="00E14A62"/>
    <w:p w:rsidR="00E14A62" w:rsidRDefault="00E14A62" w:rsidP="00E14A62">
      <w:r>
        <w:t xml:space="preserve">        Zamawiający dopuszcza matryce innego typu np. SVA, IPS</w:t>
      </w:r>
    </w:p>
    <w:p w:rsidR="00E14A62" w:rsidRDefault="00E14A62" w:rsidP="00E14A62">
      <w:r w:rsidRPr="00E14A62">
        <w:rPr>
          <w:highlight w:val="yellow"/>
        </w:rPr>
        <w:t>Pytanie 4:</w:t>
      </w:r>
    </w:p>
    <w:p w:rsidR="00E14A62" w:rsidRDefault="00E14A62" w:rsidP="00E14A62">
      <w:r>
        <w:t xml:space="preserve">Zamawiający wymaga dostarczenia „szafka multimedialna – 2 </w:t>
      </w:r>
      <w:proofErr w:type="spellStart"/>
      <w:r>
        <w:t>szt</w:t>
      </w:r>
      <w:proofErr w:type="spellEnd"/>
      <w:r>
        <w:t>”</w:t>
      </w:r>
    </w:p>
    <w:p w:rsidR="00E14A62" w:rsidRDefault="00E14A62" w:rsidP="00E14A62">
      <w:r>
        <w:t>Proszę o wyjaśnienie na czym polega multimedialność tej szafki, gdyż z opisu nie wynika to.</w:t>
      </w:r>
    </w:p>
    <w:p w:rsidR="00E14A62" w:rsidRDefault="00E14A62" w:rsidP="00E14A62">
      <w:r>
        <w:t>Odpowiedz:</w:t>
      </w:r>
    </w:p>
    <w:p w:rsidR="00E14A62" w:rsidRPr="00E14A62" w:rsidRDefault="00E14A62" w:rsidP="00E14A62">
      <w:r>
        <w:t>Szafka musi posiadać funkcje ładowania laptopów.</w:t>
      </w:r>
    </w:p>
    <w:p w:rsidR="00E14A62" w:rsidRDefault="00E14A62" w:rsidP="00E14A62">
      <w:pPr>
        <w:rPr>
          <w:rFonts w:cs="Calibri"/>
          <w:color w:val="000000"/>
          <w:sz w:val="24"/>
          <w:szCs w:val="24"/>
        </w:rPr>
      </w:pPr>
      <w:r w:rsidRPr="00E14A62">
        <w:rPr>
          <w:rFonts w:cs="Calibri"/>
          <w:color w:val="000000"/>
          <w:sz w:val="24"/>
          <w:szCs w:val="24"/>
          <w:highlight w:val="yellow"/>
        </w:rPr>
        <w:t>Zamawiający nanosi zmiany w przedmiocie zamówienia:</w:t>
      </w:r>
    </w:p>
    <w:p w:rsidR="00E14A62" w:rsidRDefault="00E14A62" w:rsidP="00E14A62">
      <w:pPr>
        <w:rPr>
          <w:color w:val="1F497D"/>
        </w:rPr>
      </w:pPr>
      <w:r>
        <w:rPr>
          <w:color w:val="1F497D"/>
        </w:rPr>
        <w:t xml:space="preserve">Projektor multimedialny </w:t>
      </w:r>
    </w:p>
    <w:p w:rsidR="00E14A62" w:rsidRDefault="00E14A62" w:rsidP="00E14A62">
      <w:pPr>
        <w:rPr>
          <w:color w:val="1F497D"/>
        </w:rPr>
      </w:pPr>
      <w:r>
        <w:rPr>
          <w:color w:val="1F497D"/>
        </w:rPr>
        <w:t xml:space="preserve">Zostaje usunięty zapis </w:t>
      </w:r>
    </w:p>
    <w:p w:rsidR="00E14A62" w:rsidRDefault="00E14A62" w:rsidP="00E14A62">
      <w:pPr>
        <w:rPr>
          <w:color w:val="1F497D"/>
        </w:rPr>
      </w:pPr>
      <w:r>
        <w:rPr>
          <w:color w:val="1F497D"/>
        </w:rPr>
        <w:t xml:space="preserve">Było: </w:t>
      </w:r>
    </w:p>
    <w:tbl>
      <w:tblPr>
        <w:tblW w:w="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E14A62" w:rsidTr="00E14A62">
        <w:trPr>
          <w:trHeight w:val="454"/>
        </w:trPr>
        <w:tc>
          <w:tcPr>
            <w:tcW w:w="2552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shd w:val="clear" w:color="auto" w:fill="FFFFFF"/>
                <w:lang w:eastAsia="ar-SA"/>
              </w:rPr>
            </w:pPr>
            <w:r>
              <w:rPr>
                <w:color w:val="111111"/>
                <w:shd w:val="clear" w:color="auto" w:fill="FFFFFF"/>
                <w:lang w:eastAsia="ar-SA"/>
              </w:rPr>
              <w:t xml:space="preserve">Zabezpieczenie‎ </w:t>
            </w:r>
          </w:p>
        </w:tc>
        <w:tc>
          <w:tcPr>
            <w:tcW w:w="6237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rPr>
                <w:rFonts w:eastAsiaTheme="minorHAnsi" w:cs="Calibri"/>
                <w:color w:val="111111"/>
                <w:shd w:val="clear" w:color="auto" w:fill="FFFFFF"/>
                <w:lang w:eastAsia="ar-SA"/>
              </w:rPr>
            </w:pPr>
          </w:p>
          <w:p w:rsidR="00E14A62" w:rsidRDefault="00E14A62">
            <w:pPr>
              <w:rPr>
                <w:rFonts w:eastAsiaTheme="minorHAnsi" w:cs="Calibri"/>
                <w:color w:val="111111"/>
                <w:shd w:val="clear" w:color="auto" w:fill="FFFFFF"/>
                <w:lang w:eastAsia="ar-SA"/>
              </w:rPr>
            </w:pPr>
            <w:r>
              <w:rPr>
                <w:color w:val="FF0000"/>
                <w:shd w:val="clear" w:color="auto" w:fill="FFFFFF"/>
                <w:lang w:eastAsia="ar-SA"/>
              </w:rPr>
              <w:t>Security Bar,</w:t>
            </w:r>
            <w:r>
              <w:rPr>
                <w:color w:val="111111"/>
                <w:shd w:val="clear" w:color="auto" w:fill="FFFFFF"/>
                <w:lang w:eastAsia="ar-SA"/>
              </w:rPr>
              <w:t xml:space="preserve"> </w:t>
            </w:r>
            <w:proofErr w:type="spellStart"/>
            <w:r>
              <w:rPr>
                <w:color w:val="111111"/>
                <w:shd w:val="clear" w:color="auto" w:fill="FFFFFF"/>
                <w:lang w:eastAsia="ar-SA"/>
              </w:rPr>
              <w:t>Kingsington</w:t>
            </w:r>
            <w:proofErr w:type="spellEnd"/>
            <w:r>
              <w:rPr>
                <w:color w:val="111111"/>
                <w:shd w:val="clear" w:color="auto" w:fill="FFFFFF"/>
                <w:lang w:eastAsia="ar-SA"/>
              </w:rPr>
              <w:t xml:space="preserve"> lock‎</w:t>
            </w:r>
          </w:p>
        </w:tc>
      </w:tr>
    </w:tbl>
    <w:p w:rsidR="00E14A62" w:rsidRDefault="00E14A62" w:rsidP="00E14A62">
      <w:pPr>
        <w:rPr>
          <w:rFonts w:eastAsiaTheme="minorHAnsi" w:cs="Calibri"/>
          <w:color w:val="1F497D"/>
          <w:lang w:eastAsia="en-US"/>
        </w:rPr>
      </w:pPr>
      <w:r>
        <w:rPr>
          <w:color w:val="1F497D"/>
        </w:rPr>
        <w:t>Winno być:</w:t>
      </w:r>
    </w:p>
    <w:tbl>
      <w:tblPr>
        <w:tblW w:w="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E14A62" w:rsidTr="00E14A62">
        <w:trPr>
          <w:trHeight w:val="454"/>
        </w:trPr>
        <w:tc>
          <w:tcPr>
            <w:tcW w:w="2552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shd w:val="clear" w:color="auto" w:fill="FFFFFF"/>
                <w:lang w:eastAsia="ar-SA"/>
              </w:rPr>
            </w:pPr>
            <w:r>
              <w:rPr>
                <w:color w:val="111111"/>
                <w:shd w:val="clear" w:color="auto" w:fill="FFFFFF"/>
                <w:lang w:eastAsia="ar-SA"/>
              </w:rPr>
              <w:t xml:space="preserve">Zabezpieczenie‎ </w:t>
            </w:r>
          </w:p>
        </w:tc>
        <w:tc>
          <w:tcPr>
            <w:tcW w:w="6237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rPr>
                <w:rFonts w:eastAsiaTheme="minorHAnsi" w:cs="Calibri"/>
                <w:color w:val="111111"/>
                <w:shd w:val="clear" w:color="auto" w:fill="FFFFFF"/>
                <w:lang w:eastAsia="ar-SA"/>
              </w:rPr>
            </w:pPr>
          </w:p>
          <w:p w:rsidR="00E14A62" w:rsidRDefault="00E14A62">
            <w:pPr>
              <w:rPr>
                <w:rFonts w:eastAsiaTheme="minorHAnsi" w:cs="Calibri"/>
                <w:color w:val="111111"/>
                <w:shd w:val="clear" w:color="auto" w:fill="FFFFFF"/>
                <w:lang w:eastAsia="ar-SA"/>
              </w:rPr>
            </w:pPr>
            <w:proofErr w:type="spellStart"/>
            <w:r>
              <w:rPr>
                <w:color w:val="111111"/>
                <w:shd w:val="clear" w:color="auto" w:fill="FFFFFF"/>
                <w:lang w:eastAsia="ar-SA"/>
              </w:rPr>
              <w:t>Kingsington</w:t>
            </w:r>
            <w:proofErr w:type="spellEnd"/>
            <w:r>
              <w:rPr>
                <w:color w:val="111111"/>
                <w:shd w:val="clear" w:color="auto" w:fill="FFFFFF"/>
                <w:lang w:eastAsia="ar-SA"/>
              </w:rPr>
              <w:t xml:space="preserve"> lock‎</w:t>
            </w:r>
          </w:p>
        </w:tc>
      </w:tr>
    </w:tbl>
    <w:p w:rsidR="00E14A62" w:rsidRDefault="00E14A62" w:rsidP="00E14A62">
      <w:pPr>
        <w:spacing w:after="240"/>
        <w:rPr>
          <w:rFonts w:eastAsiaTheme="minorHAnsi" w:cs="Calibri"/>
          <w:color w:val="1F497D"/>
          <w:lang w:eastAsia="en-US"/>
        </w:rPr>
      </w:pPr>
    </w:p>
    <w:p w:rsidR="00E14A62" w:rsidRDefault="00E14A62" w:rsidP="00E14A62">
      <w:pPr>
        <w:rPr>
          <w:color w:val="1F497D"/>
        </w:rPr>
      </w:pPr>
      <w:r>
        <w:rPr>
          <w:color w:val="1F497D"/>
        </w:rPr>
        <w:t>Urządzenie wielofunkcyjne</w:t>
      </w:r>
    </w:p>
    <w:p w:rsidR="00E14A62" w:rsidRDefault="00E14A62" w:rsidP="00E14A62">
      <w:pPr>
        <w:rPr>
          <w:color w:val="1F497D"/>
        </w:rPr>
      </w:pPr>
    </w:p>
    <w:p w:rsidR="00E14A62" w:rsidRDefault="00E14A62" w:rsidP="00E14A62">
      <w:pPr>
        <w:rPr>
          <w:color w:val="1F497D"/>
        </w:rPr>
      </w:pPr>
      <w:r>
        <w:rPr>
          <w:color w:val="1F497D"/>
        </w:rPr>
        <w:t>Było:</w:t>
      </w:r>
    </w:p>
    <w:tbl>
      <w:tblPr>
        <w:tblW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03"/>
        <w:gridCol w:w="5886"/>
      </w:tblGrid>
      <w:tr w:rsidR="00E14A62" w:rsidTr="00E14A62">
        <w:trPr>
          <w:trHeight w:val="551"/>
        </w:trPr>
        <w:tc>
          <w:tcPr>
            <w:tcW w:w="709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903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Nazwa komponentu</w:t>
            </w:r>
          </w:p>
        </w:tc>
        <w:tc>
          <w:tcPr>
            <w:tcW w:w="5886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Wymagane minimalne parametry techniczne</w:t>
            </w:r>
          </w:p>
        </w:tc>
      </w:tr>
      <w:tr w:rsidR="00E14A62" w:rsidTr="00E14A62">
        <w:trPr>
          <w:trHeight w:val="50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Funkcje urządzenia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drukowanie, kopiowanie, skanowanie, faksowanie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Proces kopiowania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Elektrostatyczne kopiowanie laserowe, tandemowe, pośrednie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System tonera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Toner polimeryzowany </w:t>
            </w:r>
            <w:proofErr w:type="spellStart"/>
            <w:r>
              <w:rPr>
                <w:lang w:eastAsia="ar-SA"/>
              </w:rPr>
              <w:t>Simitri</w:t>
            </w:r>
            <w:proofErr w:type="spellEnd"/>
            <w:r>
              <w:rPr>
                <w:lang w:eastAsia="ar-SA"/>
              </w:rPr>
              <w:t xml:space="preserve"> HD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 Prędkość druku / kopiowania A4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              w czerni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31 str./min.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t xml:space="preserve"> Prędkość w dupleksie A4 w   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 kolorze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31 str./min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  </w:t>
            </w: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t> Czas pierwszej kopii / wydruku w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czerni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13 sek.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Czas pierwszej kopii / wydruku w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kolorze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jc w:val="both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17 sek.</w:t>
            </w:r>
          </w:p>
          <w:p w:rsidR="00E14A62" w:rsidRDefault="00E14A62">
            <w:pPr>
              <w:rPr>
                <w:rFonts w:eastAsiaTheme="minorHAnsi" w:cs="Calibri"/>
                <w:lang w:eastAsia="ar-SA"/>
              </w:rPr>
            </w:pP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  </w:t>
            </w:r>
            <w:r>
              <w:rPr>
                <w:color w:val="000000"/>
                <w:lang w:eastAsia="ar-SA"/>
              </w:rPr>
              <w:t>Czas nagrzewania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38 sek.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kopiowania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600 x 600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Format oryginału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A6-A4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Powiększenie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25-400% w odstępach 0,1%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Automatyczne powiększenie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Kopiowanie dwustronne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drukowania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1 200 x 1 200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Prędkość skanowania w kolorze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30 oryginałów/min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skanowania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600 x 600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Tryby skanowania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Skanowanie do e-mail, SMB, FTP, USB, DPWS, sieciowe TWAIN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Standard faksu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Super G3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Transmisja faksu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Analogowa, PC-Fax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faksu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600 x 600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21.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Standardowa pamięć systemu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 GB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Maksymalna pamięć systemu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 GB (opcjonalnie)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Automatyczny podajnik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dokumentów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RADF do 50 arkuszy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Rozmiar papieru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A6-A4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Gramatura papieru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60-210 g/m²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Standardowa pojemność papieru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t>350 arkuszy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Automatyczny druk dwustronny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Pojemność wyjścia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ind w:left="104" w:hanging="49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150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           </w:t>
            </w:r>
            <w:r>
              <w:rPr>
                <w:lang w:eastAsia="ar-SA"/>
              </w:rPr>
              <w:t>arkuszy</w:t>
            </w:r>
          </w:p>
        </w:tc>
      </w:tr>
      <w:tr w:rsidR="00E14A62" w:rsidTr="00E14A62">
        <w:trPr>
          <w:trHeight w:val="454"/>
        </w:trPr>
        <w:tc>
          <w:tcPr>
            <w:tcW w:w="709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Gwarancja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ind w:left="104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24 miesiące</w:t>
            </w:r>
          </w:p>
        </w:tc>
      </w:tr>
    </w:tbl>
    <w:p w:rsidR="00E14A62" w:rsidRDefault="00E14A62" w:rsidP="00E14A62">
      <w:pPr>
        <w:rPr>
          <w:rFonts w:eastAsiaTheme="minorHAnsi" w:cs="Calibri"/>
          <w:color w:val="1F497D"/>
          <w:lang w:eastAsia="en-US"/>
        </w:rPr>
      </w:pPr>
    </w:p>
    <w:p w:rsidR="00E14A62" w:rsidRDefault="00E14A62" w:rsidP="00E14A62">
      <w:pPr>
        <w:rPr>
          <w:color w:val="1F497D"/>
        </w:rPr>
      </w:pPr>
      <w:r>
        <w:rPr>
          <w:color w:val="1F497D"/>
        </w:rPr>
        <w:t>Winno być:</w:t>
      </w:r>
    </w:p>
    <w:tbl>
      <w:tblPr>
        <w:tblW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824"/>
        <w:gridCol w:w="5647"/>
      </w:tblGrid>
      <w:tr w:rsidR="00E14A62" w:rsidTr="00E14A62">
        <w:trPr>
          <w:trHeight w:val="551"/>
        </w:trPr>
        <w:tc>
          <w:tcPr>
            <w:tcW w:w="697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24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Nazwa komponentu</w:t>
            </w:r>
          </w:p>
        </w:tc>
        <w:tc>
          <w:tcPr>
            <w:tcW w:w="5647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jc w:val="center"/>
              <w:rPr>
                <w:rFonts w:eastAsiaTheme="minorHAnsi" w:cs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Wymagane minimalne parametry techniczne</w:t>
            </w:r>
          </w:p>
        </w:tc>
      </w:tr>
      <w:tr w:rsidR="00E14A62" w:rsidTr="00E14A62">
        <w:trPr>
          <w:trHeight w:val="50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Funkcje urządzenia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drukowanie, kopiowanie, skanowanie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Proces kopiowania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Elektrostatyczne kopiowanie laserowe, tandemowe, pośrednie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System tonera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Toner polimeryzowany </w:t>
            </w:r>
            <w:proofErr w:type="spellStart"/>
            <w:r>
              <w:rPr>
                <w:lang w:eastAsia="ar-SA"/>
              </w:rPr>
              <w:t>Simitri</w:t>
            </w:r>
            <w:proofErr w:type="spellEnd"/>
            <w:r>
              <w:rPr>
                <w:lang w:eastAsia="ar-SA"/>
              </w:rPr>
              <w:t xml:space="preserve"> HD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t> Prędkość druku / kopiowania A4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              w czerni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31 str./min.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t xml:space="preserve"> Prędkość w dupleksie A4 w   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 kolorze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31 str./min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  </w:t>
            </w:r>
          </w:p>
          <w:p w:rsidR="00E14A62" w:rsidRDefault="00E14A62">
            <w:pPr>
              <w:spacing w:line="270" w:lineRule="atLeast"/>
              <w:ind w:left="-70"/>
              <w:rPr>
                <w:lang w:eastAsia="ar-SA"/>
              </w:rPr>
            </w:pPr>
            <w:r>
              <w:rPr>
                <w:lang w:eastAsia="ar-SA"/>
              </w:rPr>
              <w:t xml:space="preserve"> Czas pierwszej kopii / </w:t>
            </w:r>
            <w:r>
              <w:rPr>
                <w:lang w:eastAsia="ar-SA"/>
              </w:rPr>
              <w:lastRenderedPageBreak/>
              <w:t>wydruku w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czerni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13 sek.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7.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Czas pierwszej kopii / wydruku w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kolorze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A62" w:rsidRDefault="00E14A62">
            <w:pPr>
              <w:jc w:val="both"/>
              <w:rPr>
                <w:rFonts w:eastAsiaTheme="minorHAnsi" w:cs="Calibri"/>
                <w:lang w:eastAsia="ar-SA"/>
              </w:rPr>
            </w:pPr>
          </w:p>
          <w:p w:rsidR="00E14A62" w:rsidRDefault="00E14A62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17 sek.</w:t>
            </w:r>
          </w:p>
          <w:p w:rsidR="00E14A62" w:rsidRDefault="00E14A62">
            <w:pPr>
              <w:rPr>
                <w:rFonts w:eastAsiaTheme="minorHAnsi" w:cs="Calibri"/>
                <w:lang w:eastAsia="ar-SA"/>
              </w:rPr>
            </w:pP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  </w:t>
            </w:r>
            <w:r>
              <w:rPr>
                <w:color w:val="000000"/>
                <w:lang w:eastAsia="ar-SA"/>
              </w:rPr>
              <w:t>Czas nagrzewania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38 sek.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kopiowania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600 x 600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Format oryginału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A6-A4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Powiększenie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25-400% w odstępach 0,1%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Automatyczne powiększenie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Kopiowanie dwustronne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drukowania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1 200 x 1 200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Prędkość skanowania w kolorze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30 oryginałów/min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Rozdzielczość skanowania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 xml:space="preserve">600 x 600 </w:t>
            </w:r>
            <w:proofErr w:type="spellStart"/>
            <w:r>
              <w:rPr>
                <w:lang w:eastAsia="ar-SA"/>
              </w:rPr>
              <w:t>dpi</w:t>
            </w:r>
            <w:proofErr w:type="spellEnd"/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Tryby skanowania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Skanowanie do e-mail, SMB, FTP, USB, DPWS, sieciowe TWAIN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Standardowa pamięć systemu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 GB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Maksymalna pamięć systemu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 GB (opcjonalnie)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Automatyczny podajnik</w:t>
            </w:r>
          </w:p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  dokumentów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RADF do 50 arkuszy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21.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Rozmiar papieru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A6-A4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22.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Gramatura papieru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60-210 g/m²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23.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Standardowa pojemność papieru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t>350 arkuszy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24.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Automatyczny druk dwustronny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Tak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lastRenderedPageBreak/>
              <w:t>25.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Pojemność wyjścia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ind w:left="720" w:hanging="36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150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 xml:space="preserve"> </w:t>
            </w:r>
            <w:r>
              <w:rPr>
                <w:lang w:eastAsia="ar-SA"/>
              </w:rPr>
              <w:t>arkuszy</w:t>
            </w:r>
          </w:p>
        </w:tc>
      </w:tr>
      <w:tr w:rsidR="00E14A62" w:rsidTr="00E14A62">
        <w:trPr>
          <w:trHeight w:val="454"/>
        </w:trPr>
        <w:tc>
          <w:tcPr>
            <w:tcW w:w="697" w:type="dxa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26.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Gwarancja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ind w:left="104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24 miesiące</w:t>
            </w:r>
          </w:p>
        </w:tc>
      </w:tr>
    </w:tbl>
    <w:p w:rsidR="00E14A62" w:rsidRDefault="00E14A62" w:rsidP="00E14A62">
      <w:pPr>
        <w:rPr>
          <w:rFonts w:eastAsiaTheme="minorHAnsi" w:cs="Calibri"/>
          <w:color w:val="1F497D"/>
          <w:lang w:eastAsia="en-US"/>
        </w:rPr>
      </w:pPr>
    </w:p>
    <w:p w:rsidR="00E14A62" w:rsidRDefault="00E14A62" w:rsidP="00E14A62"/>
    <w:p w:rsidR="00E14A62" w:rsidRDefault="00E14A62" w:rsidP="00E14A62">
      <w:pPr>
        <w:pStyle w:val="Akapitzlist"/>
        <w:ind w:hanging="360"/>
      </w:pPr>
      <w:r>
        <w:t>1)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W opisie komputera przenośnego Zamawiający zamieszcza wpis:</w:t>
      </w:r>
    </w:p>
    <w:p w:rsidR="00E14A62" w:rsidRDefault="00E14A62" w:rsidP="00E14A62">
      <w:pPr>
        <w:ind w:left="360"/>
        <w:rPr>
          <w:lang w:eastAsia="ar-SA"/>
        </w:rPr>
      </w:pPr>
      <w:r>
        <w:rPr>
          <w:lang w:eastAsia="ar-SA"/>
        </w:rPr>
        <w:t xml:space="preserve">Głośność jednostki centralnej mierzona zgodnie z normą ISO 7779 oraz wykazana zgodnie z normą ISO 9296 w pozycji operatora w trybie (IDLE) wynosząca maksymalnie 21dB (wartość do zweryfikowania w dokumentacji technicznej komputera oraz należy załączyć oświadczenie producenta). </w:t>
      </w:r>
    </w:p>
    <w:p w:rsidR="00E14A62" w:rsidRDefault="00E14A62" w:rsidP="00E14A62">
      <w:pPr>
        <w:ind w:left="360"/>
        <w:rPr>
          <w:lang w:eastAsia="ar-SA"/>
        </w:rPr>
      </w:pPr>
      <w:r>
        <w:rPr>
          <w:lang w:eastAsia="ar-SA"/>
        </w:rPr>
        <w:t xml:space="preserve">Ponieważ producent nie jest stroną w postępowaniu zgodnie ze wytycznymi dotyczącymi postępowań unijnych nieprawidłowym jest wymaganie tego typu dokumentu jak oświadczenie producenta ponieważ powoduje to </w:t>
      </w:r>
      <w:proofErr w:type="spellStart"/>
      <w:r>
        <w:rPr>
          <w:lang w:eastAsia="ar-SA"/>
        </w:rPr>
        <w:t>nierównośc</w:t>
      </w:r>
      <w:proofErr w:type="spellEnd"/>
      <w:r>
        <w:rPr>
          <w:lang w:eastAsia="ar-SA"/>
        </w:rPr>
        <w:t xml:space="preserve"> pozycji oferentów. Zwracamy się z prośba o usuniecie zapisu o oświadczeniu producenta</w:t>
      </w:r>
    </w:p>
    <w:p w:rsidR="00E14A62" w:rsidRDefault="00E14A62" w:rsidP="00E14A62">
      <w:pPr>
        <w:ind w:left="360"/>
        <w:rPr>
          <w:lang w:eastAsia="ar-SA"/>
        </w:rPr>
      </w:pPr>
    </w:p>
    <w:p w:rsidR="00E14A62" w:rsidRDefault="00E14A62" w:rsidP="00E14A62">
      <w:pPr>
        <w:ind w:left="360"/>
        <w:rPr>
          <w:lang w:eastAsia="ar-SA"/>
        </w:rPr>
      </w:pPr>
      <w:r>
        <w:rPr>
          <w:lang w:eastAsia="ar-SA"/>
        </w:rPr>
        <w:t xml:space="preserve">Komputer przenośny </w:t>
      </w:r>
    </w:p>
    <w:p w:rsidR="00E14A62" w:rsidRDefault="00E14A62" w:rsidP="00E14A62">
      <w:pPr>
        <w:rPr>
          <w:color w:val="FF0000"/>
          <w:lang w:eastAsia="ar-SA"/>
        </w:rPr>
      </w:pPr>
    </w:p>
    <w:p w:rsidR="00E14A62" w:rsidRDefault="00E14A62" w:rsidP="00E14A62">
      <w:pPr>
        <w:ind w:firstLine="360"/>
        <w:rPr>
          <w:lang w:eastAsia="ar-SA"/>
        </w:rPr>
      </w:pPr>
      <w:r>
        <w:rPr>
          <w:lang w:eastAsia="ar-SA"/>
        </w:rPr>
        <w:t>Było</w:t>
      </w:r>
    </w:p>
    <w:tbl>
      <w:tblPr>
        <w:tblW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76"/>
        <w:gridCol w:w="6213"/>
      </w:tblGrid>
      <w:tr w:rsidR="00E14A62" w:rsidTr="00E14A62">
        <w:trPr>
          <w:trHeight w:val="454"/>
        </w:trPr>
        <w:tc>
          <w:tcPr>
            <w:tcW w:w="709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576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Ergonomia</w:t>
            </w:r>
          </w:p>
        </w:tc>
        <w:tc>
          <w:tcPr>
            <w:tcW w:w="6213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Głośność jednostki centralnej mierzona zgodnie z normą ISO 7779 oraz wykazana zgodnie z normą ISO 9296 w pozycji operatora w trybie (IDLE) wynosząca maksymalnie 21dB (wartość do zweryfikowania w dokumentacji technicznej komputera oraz należy załączyć oświadczenie producenta).</w:t>
            </w:r>
          </w:p>
        </w:tc>
      </w:tr>
    </w:tbl>
    <w:p w:rsidR="00E14A62" w:rsidRDefault="00E14A62" w:rsidP="00E14A62">
      <w:pPr>
        <w:rPr>
          <w:rFonts w:eastAsiaTheme="minorHAnsi" w:cs="Calibri"/>
          <w:color w:val="FF0000"/>
          <w:lang w:eastAsia="ar-SA"/>
        </w:rPr>
      </w:pPr>
    </w:p>
    <w:p w:rsidR="00E14A62" w:rsidRDefault="00E14A62" w:rsidP="00E14A62">
      <w:pPr>
        <w:ind w:left="360"/>
        <w:rPr>
          <w:lang w:eastAsia="ar-SA"/>
        </w:rPr>
      </w:pPr>
      <w:r>
        <w:rPr>
          <w:lang w:eastAsia="ar-SA"/>
        </w:rPr>
        <w:t>Winno być</w:t>
      </w:r>
    </w:p>
    <w:tbl>
      <w:tblPr>
        <w:tblW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76"/>
        <w:gridCol w:w="6213"/>
      </w:tblGrid>
      <w:tr w:rsidR="00E14A62" w:rsidTr="00E14A62">
        <w:trPr>
          <w:trHeight w:val="454"/>
        </w:trPr>
        <w:tc>
          <w:tcPr>
            <w:tcW w:w="709" w:type="dxa"/>
            <w:tcBorders>
              <w:top w:val="single" w:sz="8" w:space="0" w:color="BDD6EE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576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spacing w:line="270" w:lineRule="atLeast"/>
              <w:ind w:left="-70"/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Ergonomia</w:t>
            </w:r>
          </w:p>
        </w:tc>
        <w:tc>
          <w:tcPr>
            <w:tcW w:w="6213" w:type="dxa"/>
            <w:tcBorders>
              <w:top w:val="single" w:sz="8" w:space="0" w:color="BDD6EE"/>
              <w:left w:val="nil"/>
              <w:bottom w:val="single" w:sz="8" w:space="0" w:color="BDD6EE"/>
              <w:right w:val="single" w:sz="8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A62" w:rsidRDefault="00E14A62">
            <w:pPr>
              <w:rPr>
                <w:rFonts w:eastAsiaTheme="minorHAnsi" w:cs="Calibri"/>
                <w:lang w:eastAsia="ar-SA"/>
              </w:rPr>
            </w:pPr>
            <w:r>
              <w:rPr>
                <w:lang w:eastAsia="ar-SA"/>
              </w:rPr>
              <w:t>Głośność jednostki centralnej mierzona zgodnie z normą ISO 7779 oraz wykazana zgodnie z normą ISO 9296 w pozycji operatora w trybie (IDLE) wynosząca maksymalnie 21dB (wartość do zweryfikowania w dokumentacji technicznej komputer).</w:t>
            </w:r>
          </w:p>
        </w:tc>
      </w:tr>
    </w:tbl>
    <w:p w:rsidR="00E14A62" w:rsidRDefault="00E14A62" w:rsidP="00E14A62">
      <w:pPr>
        <w:spacing w:after="0"/>
        <w:rPr>
          <w:rFonts w:ascii="Verdana" w:eastAsia="Arial Unicode MS" w:hAnsi="Verdana"/>
          <w:b/>
          <w:bCs/>
          <w:kern w:val="1"/>
          <w:lang w:eastAsia="en-US"/>
        </w:rPr>
      </w:pPr>
      <w:r>
        <w:rPr>
          <w:rFonts w:ascii="Verdana" w:eastAsia="Arial Unicode MS" w:hAnsi="Verdana"/>
          <w:b/>
          <w:bCs/>
          <w:kern w:val="1"/>
          <w:lang w:eastAsia="en-US"/>
        </w:rPr>
        <w:t xml:space="preserve">W związku ze zmianami w postępowaniu zamawiający  przedłuża termin składnia ofert do dnia 6 marca 2019 roku do godziny 10. 00 Otwarcie odbędzie się 6 marca </w:t>
      </w:r>
      <w:bookmarkStart w:id="0" w:name="_GoBack"/>
      <w:r>
        <w:rPr>
          <w:rFonts w:ascii="Verdana" w:eastAsia="Arial Unicode MS" w:hAnsi="Verdana"/>
          <w:b/>
          <w:bCs/>
          <w:kern w:val="1"/>
          <w:lang w:eastAsia="en-US"/>
        </w:rPr>
        <w:t xml:space="preserve">2019 roku o godzinie 10.15 </w:t>
      </w:r>
    </w:p>
    <w:p w:rsidR="00A03E00" w:rsidRDefault="00A03E00" w:rsidP="00E14A62">
      <w:pPr>
        <w:spacing w:after="0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Pozostałe zapisy bez zmiany.</w:t>
      </w:r>
    </w:p>
    <w:bookmarkEnd w:id="0"/>
    <w:p w:rsidR="00A03E00" w:rsidRDefault="00A03E00" w:rsidP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mgr Jowita Stachura-Jakóbik</w:t>
      </w:r>
    </w:p>
    <w:p w:rsidR="00A03E00" w:rsidRPr="00A03E00" w:rsidRDefault="00A03E00" w:rsidP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 xml:space="preserve">Gł. specjalista ds. </w:t>
      </w:r>
      <w:proofErr w:type="spellStart"/>
      <w:r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  <w:t>ZPiKW</w:t>
      </w:r>
      <w:proofErr w:type="spellEnd"/>
    </w:p>
    <w:p w:rsidR="00A03E00" w:rsidRPr="00A03E00" w:rsidRDefault="00A03E00">
      <w:pPr>
        <w:jc w:val="right"/>
        <w:rPr>
          <w:rFonts w:ascii="Verdana" w:eastAsia="Arial Unicode MS" w:hAnsi="Verdana"/>
          <w:b/>
          <w:bCs/>
          <w:kern w:val="1"/>
          <w:sz w:val="24"/>
          <w:szCs w:val="24"/>
          <w:lang w:eastAsia="en-US"/>
        </w:rPr>
      </w:pPr>
    </w:p>
    <w:sectPr w:rsidR="00A03E00" w:rsidRPr="00A03E00" w:rsidSect="003120C6">
      <w:headerReference w:type="default" r:id="rId9"/>
      <w:footerReference w:type="default" r:id="rId10"/>
      <w:pgSz w:w="11906" w:h="16838"/>
      <w:pgMar w:top="238" w:right="720" w:bottom="720" w:left="720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B2" w:rsidRDefault="00B47CB2" w:rsidP="009603D0">
      <w:pPr>
        <w:spacing w:after="0" w:line="240" w:lineRule="auto"/>
      </w:pPr>
      <w:r>
        <w:separator/>
      </w:r>
    </w:p>
  </w:endnote>
  <w:endnote w:type="continuationSeparator" w:id="0">
    <w:p w:rsidR="00B47CB2" w:rsidRDefault="00B47CB2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2" w:rsidRDefault="00B47CB2" w:rsidP="000E7F23">
    <w:pPr>
      <w:pStyle w:val="Stopka"/>
      <w:jc w:val="center"/>
      <w:rPr>
        <w:sz w:val="12"/>
        <w:szCs w:val="12"/>
      </w:rPr>
    </w:pPr>
  </w:p>
  <w:p w:rsidR="00B47CB2" w:rsidRDefault="00B47CB2">
    <w:pPr>
      <w:pStyle w:val="Stopka"/>
    </w:pPr>
    <w:r>
      <w:rPr>
        <w:noProof/>
        <w:lang w:eastAsia="pl-PL"/>
      </w:rPr>
      <w:drawing>
        <wp:inline distT="0" distB="0" distL="0" distR="0" wp14:anchorId="6A065E52" wp14:editId="115D711E">
          <wp:extent cx="5760720" cy="818515"/>
          <wp:effectExtent l="0" t="0" r="0" b="63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B2" w:rsidRDefault="00B47CB2" w:rsidP="009603D0">
      <w:pPr>
        <w:spacing w:after="0" w:line="240" w:lineRule="auto"/>
      </w:pPr>
      <w:r>
        <w:separator/>
      </w:r>
    </w:p>
  </w:footnote>
  <w:footnote w:type="continuationSeparator" w:id="0">
    <w:p w:rsidR="00B47CB2" w:rsidRDefault="00B47CB2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B2" w:rsidRDefault="00B47CB2">
    <w:pPr>
      <w:pStyle w:val="Nagwek"/>
    </w:pPr>
    <w:r>
      <w:rPr>
        <w:noProof/>
        <w:lang w:eastAsia="pl-PL"/>
      </w:rPr>
      <w:drawing>
        <wp:inline distT="0" distB="0" distL="0" distR="0" wp14:anchorId="556BF3DF" wp14:editId="29778A6E">
          <wp:extent cx="5760720" cy="72136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7CB2" w:rsidRPr="00161534" w:rsidRDefault="00B47CB2" w:rsidP="0016153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95C"/>
    <w:multiLevelType w:val="hybridMultilevel"/>
    <w:tmpl w:val="8402C1D6"/>
    <w:lvl w:ilvl="0" w:tplc="32AEA71C">
      <w:start w:val="150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9C4B1B"/>
    <w:multiLevelType w:val="multilevel"/>
    <w:tmpl w:val="382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5185C"/>
    <w:multiLevelType w:val="hybridMultilevel"/>
    <w:tmpl w:val="83FAA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5360"/>
    <w:multiLevelType w:val="hybridMultilevel"/>
    <w:tmpl w:val="451CB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13F1847"/>
    <w:multiLevelType w:val="hybridMultilevel"/>
    <w:tmpl w:val="896451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DE44436"/>
    <w:multiLevelType w:val="multilevel"/>
    <w:tmpl w:val="34A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B7485F"/>
    <w:multiLevelType w:val="hybridMultilevel"/>
    <w:tmpl w:val="415CEEB0"/>
    <w:lvl w:ilvl="0" w:tplc="279E45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17F5282"/>
    <w:multiLevelType w:val="multilevel"/>
    <w:tmpl w:val="255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45"/>
  </w:num>
  <w:num w:numId="4">
    <w:abstractNumId w:val="31"/>
  </w:num>
  <w:num w:numId="5">
    <w:abstractNumId w:val="43"/>
  </w:num>
  <w:num w:numId="6">
    <w:abstractNumId w:val="42"/>
  </w:num>
  <w:num w:numId="7">
    <w:abstractNumId w:val="7"/>
  </w:num>
  <w:num w:numId="8">
    <w:abstractNumId w:val="38"/>
  </w:num>
  <w:num w:numId="9">
    <w:abstractNumId w:val="40"/>
  </w:num>
  <w:num w:numId="10">
    <w:abstractNumId w:val="18"/>
  </w:num>
  <w:num w:numId="11">
    <w:abstractNumId w:val="19"/>
  </w:num>
  <w:num w:numId="12">
    <w:abstractNumId w:val="5"/>
  </w:num>
  <w:num w:numId="13">
    <w:abstractNumId w:val="11"/>
  </w:num>
  <w:num w:numId="14">
    <w:abstractNumId w:val="25"/>
  </w:num>
  <w:num w:numId="15">
    <w:abstractNumId w:val="20"/>
  </w:num>
  <w:num w:numId="16">
    <w:abstractNumId w:val="21"/>
  </w:num>
  <w:num w:numId="17">
    <w:abstractNumId w:val="35"/>
  </w:num>
  <w:num w:numId="18">
    <w:abstractNumId w:val="27"/>
  </w:num>
  <w:num w:numId="19">
    <w:abstractNumId w:val="17"/>
  </w:num>
  <w:num w:numId="20">
    <w:abstractNumId w:val="26"/>
  </w:num>
  <w:num w:numId="21">
    <w:abstractNumId w:val="37"/>
  </w:num>
  <w:num w:numId="22">
    <w:abstractNumId w:val="32"/>
  </w:num>
  <w:num w:numId="23">
    <w:abstractNumId w:val="29"/>
  </w:num>
  <w:num w:numId="24">
    <w:abstractNumId w:val="1"/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4"/>
  </w:num>
  <w:num w:numId="32">
    <w:abstractNumId w:val="30"/>
  </w:num>
  <w:num w:numId="33">
    <w:abstractNumId w:val="16"/>
  </w:num>
  <w:num w:numId="34">
    <w:abstractNumId w:val="9"/>
  </w:num>
  <w:num w:numId="35">
    <w:abstractNumId w:val="23"/>
  </w:num>
  <w:num w:numId="36">
    <w:abstractNumId w:val="0"/>
  </w:num>
  <w:num w:numId="37">
    <w:abstractNumId w:val="41"/>
  </w:num>
  <w:num w:numId="38">
    <w:abstractNumId w:val="22"/>
  </w:num>
  <w:num w:numId="39">
    <w:abstractNumId w:val="4"/>
  </w:num>
  <w:num w:numId="40">
    <w:abstractNumId w:val="6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6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0"/>
    <w:rsid w:val="00024656"/>
    <w:rsid w:val="000515FB"/>
    <w:rsid w:val="000A5184"/>
    <w:rsid w:val="000E7F23"/>
    <w:rsid w:val="000F75D3"/>
    <w:rsid w:val="0015466E"/>
    <w:rsid w:val="00161534"/>
    <w:rsid w:val="0017795E"/>
    <w:rsid w:val="001F6A08"/>
    <w:rsid w:val="00244EA4"/>
    <w:rsid w:val="00247F39"/>
    <w:rsid w:val="00260F4B"/>
    <w:rsid w:val="00272794"/>
    <w:rsid w:val="002E3B9C"/>
    <w:rsid w:val="002F0AC3"/>
    <w:rsid w:val="00303D3D"/>
    <w:rsid w:val="003120C6"/>
    <w:rsid w:val="003542C2"/>
    <w:rsid w:val="00381BFA"/>
    <w:rsid w:val="003A4D5C"/>
    <w:rsid w:val="003E06FA"/>
    <w:rsid w:val="003E0FB2"/>
    <w:rsid w:val="003E576E"/>
    <w:rsid w:val="003F3D69"/>
    <w:rsid w:val="003F4354"/>
    <w:rsid w:val="00407994"/>
    <w:rsid w:val="004139CC"/>
    <w:rsid w:val="00444B49"/>
    <w:rsid w:val="00446A4F"/>
    <w:rsid w:val="004656FC"/>
    <w:rsid w:val="005200A9"/>
    <w:rsid w:val="00524A6C"/>
    <w:rsid w:val="005A0199"/>
    <w:rsid w:val="005A3C5C"/>
    <w:rsid w:val="005C7B8F"/>
    <w:rsid w:val="005E7175"/>
    <w:rsid w:val="006177E9"/>
    <w:rsid w:val="00680C78"/>
    <w:rsid w:val="006D6FED"/>
    <w:rsid w:val="006F2B75"/>
    <w:rsid w:val="00714F7E"/>
    <w:rsid w:val="00721358"/>
    <w:rsid w:val="007B4FE3"/>
    <w:rsid w:val="00805051"/>
    <w:rsid w:val="00815711"/>
    <w:rsid w:val="00821131"/>
    <w:rsid w:val="008439A9"/>
    <w:rsid w:val="00850A94"/>
    <w:rsid w:val="00852C8C"/>
    <w:rsid w:val="00872D9F"/>
    <w:rsid w:val="00895B12"/>
    <w:rsid w:val="008B02B9"/>
    <w:rsid w:val="008B447F"/>
    <w:rsid w:val="008C49FD"/>
    <w:rsid w:val="008F4D5C"/>
    <w:rsid w:val="00900192"/>
    <w:rsid w:val="009220D9"/>
    <w:rsid w:val="009350FE"/>
    <w:rsid w:val="009603D0"/>
    <w:rsid w:val="009B0727"/>
    <w:rsid w:val="009F4D97"/>
    <w:rsid w:val="00A03E00"/>
    <w:rsid w:val="00A33051"/>
    <w:rsid w:val="00A66B56"/>
    <w:rsid w:val="00A71FF4"/>
    <w:rsid w:val="00A9781E"/>
    <w:rsid w:val="00AB6565"/>
    <w:rsid w:val="00AE395A"/>
    <w:rsid w:val="00B3485D"/>
    <w:rsid w:val="00B46486"/>
    <w:rsid w:val="00B47CB2"/>
    <w:rsid w:val="00B578C6"/>
    <w:rsid w:val="00B70D57"/>
    <w:rsid w:val="00B72E93"/>
    <w:rsid w:val="00BB2FB5"/>
    <w:rsid w:val="00BC1D29"/>
    <w:rsid w:val="00BE4516"/>
    <w:rsid w:val="00C06EFE"/>
    <w:rsid w:val="00C37625"/>
    <w:rsid w:val="00C73DE4"/>
    <w:rsid w:val="00CB272A"/>
    <w:rsid w:val="00CD399D"/>
    <w:rsid w:val="00D115FE"/>
    <w:rsid w:val="00D26AB3"/>
    <w:rsid w:val="00D4599B"/>
    <w:rsid w:val="00D479E6"/>
    <w:rsid w:val="00D717BC"/>
    <w:rsid w:val="00D8130C"/>
    <w:rsid w:val="00D8640F"/>
    <w:rsid w:val="00D92079"/>
    <w:rsid w:val="00DA427A"/>
    <w:rsid w:val="00DD5423"/>
    <w:rsid w:val="00DF330B"/>
    <w:rsid w:val="00E024D4"/>
    <w:rsid w:val="00E07F0D"/>
    <w:rsid w:val="00E14A62"/>
    <w:rsid w:val="00E34144"/>
    <w:rsid w:val="00E4440E"/>
    <w:rsid w:val="00E95C07"/>
    <w:rsid w:val="00EB232D"/>
    <w:rsid w:val="00EB263F"/>
    <w:rsid w:val="00ED4B60"/>
    <w:rsid w:val="00EF3B8F"/>
    <w:rsid w:val="00F028F2"/>
    <w:rsid w:val="00F24900"/>
    <w:rsid w:val="00F26A54"/>
    <w:rsid w:val="00F41776"/>
    <w:rsid w:val="00F72D93"/>
    <w:rsid w:val="00F75B97"/>
    <w:rsid w:val="00F974AA"/>
    <w:rsid w:val="00FB0CCF"/>
    <w:rsid w:val="00FC240F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3C5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A3C5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link w:val="AkapitzlistZnak"/>
    <w:uiPriority w:val="34"/>
    <w:qFormat/>
    <w:rsid w:val="005A3C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3C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C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basedOn w:val="Domylnaczcionkaakapitu"/>
    <w:qFormat/>
    <w:rsid w:val="005A3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3C5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3C5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A3C5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5A3C5C"/>
    <w:pPr>
      <w:spacing w:after="120"/>
      <w:ind w:left="283"/>
    </w:pPr>
    <w:rPr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C5C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5A3C5C"/>
  </w:style>
  <w:style w:type="paragraph" w:styleId="Zwykytekst">
    <w:name w:val="Plain Text"/>
    <w:basedOn w:val="Normalny"/>
    <w:link w:val="ZwykytekstZnak"/>
    <w:uiPriority w:val="99"/>
    <w:semiHidden/>
    <w:unhideWhenUsed/>
    <w:rsid w:val="00E024D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24D4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9F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D9207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15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1534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16153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5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15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C37625"/>
    <w:pPr>
      <w:suppressAutoHyphens/>
      <w:ind w:left="720"/>
    </w:pPr>
    <w:rPr>
      <w:rFonts w:eastAsia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2465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A94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3C5C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5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A3C5C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nhideWhenUsed/>
    <w:rsid w:val="009603D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rsid w:val="009603D0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4440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E444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440E"/>
    <w:rPr>
      <w:vertAlign w:val="superscript"/>
    </w:rPr>
  </w:style>
  <w:style w:type="paragraph" w:styleId="Bezodstpw">
    <w:name w:val="No Spacing"/>
    <w:uiPriority w:val="1"/>
    <w:qFormat/>
    <w:rsid w:val="00F249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F24900"/>
  </w:style>
  <w:style w:type="paragraph" w:styleId="Akapitzlist">
    <w:name w:val="List Paragraph"/>
    <w:basedOn w:val="Normalny"/>
    <w:link w:val="AkapitzlistZnak"/>
    <w:uiPriority w:val="34"/>
    <w:qFormat/>
    <w:rsid w:val="005A3C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3C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C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basedOn w:val="Domylnaczcionkaakapitu"/>
    <w:qFormat/>
    <w:rsid w:val="005A3C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A3C5C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A3C5C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A3C5C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5A3C5C"/>
    <w:pPr>
      <w:spacing w:after="120"/>
      <w:ind w:left="283"/>
    </w:pPr>
    <w:rPr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3C5C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5A3C5C"/>
  </w:style>
  <w:style w:type="paragraph" w:styleId="Zwykytekst">
    <w:name w:val="Plain Text"/>
    <w:basedOn w:val="Normalny"/>
    <w:link w:val="ZwykytekstZnak"/>
    <w:uiPriority w:val="99"/>
    <w:semiHidden/>
    <w:unhideWhenUsed/>
    <w:rsid w:val="00E024D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24D4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9F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D9207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5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15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1534"/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5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customStyle="1" w:styleId="GridTable1LightAccent1">
    <w:name w:val="Grid Table 1 Light Accent 1"/>
    <w:basedOn w:val="Standardowy"/>
    <w:uiPriority w:val="46"/>
    <w:rsid w:val="0016153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5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615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61534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C37625"/>
    <w:pPr>
      <w:suppressAutoHyphens/>
      <w:ind w:left="720"/>
    </w:pPr>
    <w:rPr>
      <w:rFonts w:eastAsia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2465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7D53-7900-4B31-892F-F6D9D176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Jowita Jakóbik</cp:lastModifiedBy>
  <cp:revision>3</cp:revision>
  <cp:lastPrinted>2016-09-23T10:51:00Z</cp:lastPrinted>
  <dcterms:created xsi:type="dcterms:W3CDTF">2019-02-28T14:37:00Z</dcterms:created>
  <dcterms:modified xsi:type="dcterms:W3CDTF">2019-02-28T14:45:00Z</dcterms:modified>
</cp:coreProperties>
</file>